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İŞYERİ KİRA SÖZLEŞMESİ KONTROL LİSTESİ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Taşınmazın 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Kiraya veren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Kiracı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TARAFLAR VE TAŞINMAZ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Kiraya verenin malik ya da kiraya vermeye yetkili olduğu tapu / vekâletnameyle doğrulandı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Taşınmazın adresi, ada / parsel ve bağımsız bölüm bilgileri yazıldı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Kiracının unvanı, vergi dairesi ve vergi numarası yazıldı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Taşınmazın yapılacak faaliyete ve ruhsata uygun olduğu kontrol edildi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SÖZLEŞME MADDELERİ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Kira başlangıç tarihi ve süresi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Aylık kira bedelinin brüt mü net mi olduğu açıkça yazıldı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Ödeme günü ve banka hesabı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Yıllık artış hükmü (TÜFE on iki aylık ortalama sınırı)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Güvence bedeli ve iade şartları (en çok üç aylık kira)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Aidat, ortak gider ve abonelik faturalarının kime ait olduğu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Tadilat, tabela ve alt kira izinleri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Teslim tutanağı ve demirbaş listesi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VERGİ VE BELGELER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Stopaj yapılacaksa (%20) kesinti tutarı ve net ödeme hesaplandı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Kiraya verenin fatura düzenleyip düzenlemeyeceği (KDV) netleştirildi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Damga vergisini hangi tarafın ödeyeceği yazıldı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İMZADAN SONRA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Sözleşmenin bir örneği muhasebeye iletildi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İşyeri adresi vergi dairesine bildirildi (işe başlama ya da adres değişikliği)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Elektrik, su, doğalgaz ve internet abonelikleri kiracı adına alındı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Kontrol eden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Tarih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3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İşyeri kira sözleşmesi kontrol listesi</dc:title>
  <dc:subject>yavuzelmusavirlik.com/sablonlar/isyeri-kira-sozlesmesi-kontrol-listesi</dc:subject>
  <dc:creator>Yavuzel Mali Müşavirlik</dc:creator>
  <dc:description>İmzadan önce bakılacak maddeler; stopaj, KDV ve damga vergisi notlarıyla. Genel bilgilendirme amaçlıdır; mesleki değerlendirme yerine geçmez.</dc:description>
  <cp:lastModifiedBy>Yavuzel Mali Müşavirlik</cp:lastModifiedBy>
  <cp:revision>1</cp:revision>
  <dcterms:created xsi:type="dcterms:W3CDTF">2026-10-12T01:46:04.501Z</dcterms:created>
  <dcterms:modified xsi:type="dcterms:W3CDTF">2026-10-12T01:46:04.501Z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